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2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О выполнении </w:t>
      </w:r>
      <w:r>
        <w:rPr>
          <w:rFonts w:ascii="Times New Roman" w:hAnsi="Times New Roman" w:cs="Times New Roman"/>
          <w:sz w:val="26"/>
          <w:szCs w:val="26"/>
        </w:rPr>
        <w:t xml:space="preserve">отдельных пунктов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План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мероприятий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по реализации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редложени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железнодорожных администраций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 Дирекции Совета по железнодорожному транспорту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государств</w:t>
      </w: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участников Содружества </w:t>
      </w:r>
      <w:r>
        <w:rPr>
          <w:rFonts w:ascii="Times New Roman" w:hAnsi="Times New Roman" w:cs="Times New Roman"/>
          <w:sz w:val="26"/>
          <w:szCs w:val="26"/>
        </w:rPr>
        <w:t xml:space="preserve">по совершенствованию и реформированию рабочих и исполнительного органов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железнодорожному транспорту государств - участников Содружества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</w:t>
      </w:r>
      <w:r>
        <w:rPr>
          <w:rFonts w:ascii="Times New Roman" w:hAnsi="Times New Roman" w:cs="Times New Roman"/>
          <w:sz w:val="26"/>
          <w:szCs w:val="26"/>
        </w:rPr>
        <w:t xml:space="preserve">утвержден решением </w:t>
      </w:r>
      <w:r>
        <w:rPr>
          <w:rFonts w:ascii="Times New Roman" w:hAnsi="Times New Roman" w:cs="Times New Roman"/>
          <w:sz w:val="26"/>
          <w:szCs w:val="26"/>
        </w:rPr>
        <w:t xml:space="preserve">восемьдесят второго </w:t>
      </w:r>
      <w:r>
        <w:rPr>
          <w:rFonts w:ascii="Times New Roman" w:hAnsi="Times New Roman" w:cs="Times New Roman"/>
          <w:sz w:val="26"/>
          <w:szCs w:val="26"/>
        </w:rPr>
        <w:t xml:space="preserve">заседания Совета</w:t>
      </w:r>
      <w:r>
        <w:rPr>
          <w:rFonts w:ascii="Times New Roman" w:hAnsi="Times New Roman" w:cs="Times New Roman"/>
          <w:sz w:val="26"/>
          <w:szCs w:val="26"/>
        </w:rPr>
        <w:t xml:space="preserve">, подпункт </w:t>
      </w:r>
      <w:r>
        <w:rPr>
          <w:rFonts w:ascii="Times New Roman" w:hAnsi="Times New Roman" w:cs="Times New Roman"/>
          <w:sz w:val="26"/>
          <w:szCs w:val="26"/>
        </w:rPr>
        <w:t xml:space="preserve">10.2 пункта 1 повестки дня</w:t>
      </w:r>
      <w:r>
        <w:rPr>
          <w:rFonts w:ascii="Times New Roman" w:hAnsi="Times New Roman" w:cs="Times New Roman"/>
          <w:sz w:val="26"/>
          <w:szCs w:val="26"/>
        </w:rPr>
        <w:t xml:space="preserve"> протокола от 11 июня 2025 г.</w:t>
      </w:r>
      <w:r>
        <w:rPr>
          <w:rFonts w:ascii="Times New Roman" w:hAnsi="Times New Roman" w:cs="Times New Roman"/>
          <w:sz w:val="26"/>
          <w:szCs w:val="26"/>
        </w:rPr>
        <w:t xml:space="preserve"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226" w:type="dxa"/>
        <w:jc w:val="center"/>
        <w:tblLook w:val="04A0" w:firstRow="1" w:lastRow="0" w:firstColumn="1" w:lastColumn="0" w:noHBand="0" w:noVBand="1"/>
      </w:tblPr>
      <w:tblGrid>
        <w:gridCol w:w="7613"/>
        <w:gridCol w:w="7613"/>
      </w:tblGrid>
      <w:tr>
        <w:trPr>
          <w:jc w:val="center"/>
          <w:trHeight w:val="720"/>
          <w:tblHeader/>
        </w:trPr>
        <w:tc>
          <w:tcPr>
            <w:tcW w:w="761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Мероприятия по реформированию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Рабочих органов Совета</w:t>
            </w:r>
          </w:p>
        </w:tc>
        <w:tc>
          <w:tcPr>
            <w:tcW w:w="761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Выполнение</w:t>
            </w:r>
          </w:p>
        </w:tc>
      </w:tr>
      <w:tr>
        <w:trPr>
          <w:jc w:val="center"/>
        </w:trPr>
        <w:tc>
          <w:tcPr>
            <w:tcW w:w="7613" w:type="dxa"/>
            <w:tcBorders>
              <w:bottom w:val="single" w:color="auto" w:sz="4" w:space="0"/>
            </w:tcBorders>
          </w:tcPr>
          <w:p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Создать Стратегическую группу по развитию международных транспортных коридоров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 счет преобразования Рабочей группы по вопросам международных транспортных коридоров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strike/>
                <w:sz w:val="26"/>
                <w:szCs w:val="26"/>
              </w:rPr>
            </w:pPr>
          </w:p>
        </w:tc>
        <w:tc>
          <w:tcPr>
            <w:tcW w:w="7613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Проведено первое заседание Стратегической группы по развитию международных транспортных коридоров (протокол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от 2 сентября 2025 года)</w:t>
            </w: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Рассмотреть целесообразность</w:t>
            </w:r>
            <w:r>
              <w:rPr>
                <w:rFonts w:eastAsia="Calibri"/>
                <w:sz w:val="26"/>
                <w:szCs w:val="26"/>
              </w:rPr>
              <w:t xml:space="preserve"> и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возможность автоматизации процессов взаимодействия всех железнодорожных администраций совместно с Дирекцией Совета по: 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16"/>
                <w:szCs w:val="1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согласованию плана подвода поездов к МГСП, подвода к МГСП и контроля пропуска учетных поездов по инфраструктуре железнодорожных администраций;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технологическому регулированию парка порожних грузовых вагонов в международном сообщении на основе единой системы информационного обмена данными о порожних вагонах и заявках на перевозку грузов (взамен сложившейся модели управления парком порожних собственных/арендованных вагонов посред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ством конвенционных запрещений);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16"/>
                <w:szCs w:val="1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учету и контролю расследования допущенных нарушений безопасности движения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Совещанием уполномоченных представителей железнодорожных администраций (протокол от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22-23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сентября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года) принят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решени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я: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считать ц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елесообразн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автоматизаци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процессов взаимодействия всех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железнодорожных администраций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с Дирекцией Совета по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согласованию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подвод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поездов к МГСП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и контролю их пропуска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по инфраструктуре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железнодорожных администраций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;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 xml:space="preserve">п</w:t>
            </w:r>
            <w:r>
              <w:rPr>
                <w:b w:val="0"/>
                <w:color w:val="000000"/>
                <w:sz w:val="26"/>
                <w:szCs w:val="26"/>
              </w:rPr>
              <w:t xml:space="preserve">росить </w:t>
            </w:r>
            <w:r>
              <w:rPr>
                <w:b w:val="0"/>
                <w:color w:val="000000"/>
                <w:sz w:val="26"/>
                <w:szCs w:val="26"/>
              </w:rPr>
              <w:t xml:space="preserve">железнодорожные администрации</w:t>
            </w:r>
            <w:r>
              <w:rPr>
                <w:b w:val="0"/>
                <w:color w:val="000000"/>
                <w:sz w:val="26"/>
                <w:szCs w:val="26"/>
              </w:rPr>
              <w:t xml:space="preserve"> рассмотреть возможность предоставления Дирекции Совета информации для решения задач </w:t>
            </w:r>
            <w:r>
              <w:rPr>
                <w:b w:val="0"/>
                <w:color w:val="000000"/>
                <w:sz w:val="26"/>
                <w:szCs w:val="26"/>
              </w:rPr>
              <w:t xml:space="preserve">по согласованию подвода поездов к МГСП и контролю их пропуска по инфраструктуре ЖДА</w:t>
            </w:r>
            <w:r>
              <w:rPr>
                <w:b w:val="0"/>
                <w:color w:val="000000"/>
                <w:sz w:val="26"/>
                <w:szCs w:val="26"/>
              </w:rPr>
              <w:t xml:space="preserve">;</w:t>
            </w: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color w:val="000000"/>
                <w:sz w:val="8"/>
                <w:szCs w:val="8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росить Дирекцию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Совета и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ИВЦ ЖА проанализировать действующие информационные сообщения для формирования «поездной модели» межгосударственного уровня для создания в дальнейшем единой модели управления перевозочным процессом в международном сообщении на базе диспетчерского центра Дирекции Совета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включ</w:t>
            </w:r>
            <w:r>
              <w:rPr>
                <w:b w:val="0"/>
                <w:sz w:val="26"/>
                <w:szCs w:val="26"/>
              </w:rPr>
              <w:t xml:space="preserve">ить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данный вопрос </w:t>
            </w:r>
            <w:r>
              <w:rPr>
                <w:b w:val="0"/>
                <w:sz w:val="26"/>
                <w:szCs w:val="26"/>
              </w:rPr>
              <w:t xml:space="preserve">в повестку дня </w:t>
            </w:r>
            <w:r>
              <w:rPr>
                <w:b w:val="0"/>
                <w:sz w:val="26"/>
                <w:szCs w:val="26"/>
              </w:rPr>
              <w:t xml:space="preserve">очередного </w:t>
            </w:r>
            <w:r>
              <w:rPr>
                <w:b w:val="0"/>
                <w:sz w:val="26"/>
                <w:szCs w:val="26"/>
              </w:rPr>
              <w:t xml:space="preserve">сетевого </w:t>
            </w:r>
            <w:r>
              <w:rPr>
                <w:b w:val="0"/>
                <w:sz w:val="26"/>
                <w:szCs w:val="26"/>
              </w:rPr>
              <w:t xml:space="preserve">совещания руководителей хозяйств перевозок </w:t>
            </w:r>
            <w:r>
              <w:rPr>
                <w:b w:val="0"/>
                <w:color w:val="000000"/>
                <w:sz w:val="26"/>
                <w:szCs w:val="26"/>
              </w:rPr>
              <w:t xml:space="preserve">железнодорожных администраций</w:t>
            </w:r>
            <w:r>
              <w:rPr>
                <w:b w:val="0"/>
                <w:color w:val="000000"/>
                <w:sz w:val="26"/>
                <w:szCs w:val="26"/>
              </w:rPr>
              <w:t xml:space="preserve">;</w:t>
            </w: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просить </w:t>
            </w:r>
            <w:r>
              <w:rPr>
                <w:b w:val="0"/>
                <w:color w:val="000000"/>
                <w:sz w:val="26"/>
                <w:szCs w:val="26"/>
              </w:rPr>
              <w:t xml:space="preserve">железнодорожные администрации </w:t>
            </w:r>
            <w:r>
              <w:rPr>
                <w:b w:val="0"/>
                <w:sz w:val="26"/>
                <w:szCs w:val="26"/>
              </w:rPr>
              <w:t xml:space="preserve">направить в Дирекцию Совета предложения по выработанным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в ходе совещания </w:t>
            </w:r>
            <w:r>
              <w:rPr>
                <w:b w:val="0"/>
                <w:sz w:val="26"/>
                <w:szCs w:val="26"/>
              </w:rPr>
              <w:t xml:space="preserve">подход</w:t>
            </w:r>
            <w:r>
              <w:rPr>
                <w:b w:val="0"/>
                <w:sz w:val="26"/>
                <w:szCs w:val="26"/>
              </w:rPr>
              <w:t xml:space="preserve">ам</w:t>
            </w:r>
            <w:r>
              <w:rPr>
                <w:b w:val="0"/>
                <w:sz w:val="26"/>
                <w:szCs w:val="26"/>
              </w:rPr>
              <w:t xml:space="preserve"> к решению </w:t>
            </w:r>
            <w:r>
              <w:rPr>
                <w:b w:val="0"/>
                <w:sz w:val="26"/>
                <w:szCs w:val="26"/>
              </w:rPr>
              <w:t xml:space="preserve">данного </w:t>
            </w:r>
            <w:r>
              <w:rPr>
                <w:b w:val="0"/>
                <w:sz w:val="26"/>
                <w:szCs w:val="26"/>
              </w:rPr>
              <w:t xml:space="preserve">вопроса</w:t>
            </w:r>
            <w:r>
              <w:rPr>
                <w:b w:val="0"/>
                <w:sz w:val="26"/>
                <w:szCs w:val="26"/>
              </w:rPr>
              <w:t xml:space="preserve"> и другие предложения</w:t>
            </w:r>
            <w:r>
              <w:rPr>
                <w:b w:val="0"/>
                <w:sz w:val="26"/>
                <w:szCs w:val="26"/>
              </w:rPr>
              <w:t xml:space="preserve">;</w:t>
            </w: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просить научное сообщество подключиться к решению </w:t>
            </w:r>
            <w:r>
              <w:rPr>
                <w:b w:val="0"/>
                <w:sz w:val="26"/>
                <w:szCs w:val="26"/>
              </w:rPr>
              <w:t xml:space="preserve">вопроса </w:t>
            </w:r>
            <w:r>
              <w:rPr>
                <w:b w:val="0"/>
                <w:sz w:val="26"/>
                <w:szCs w:val="26"/>
              </w:rPr>
              <w:t xml:space="preserve">технологического регулирования парка </w:t>
            </w:r>
            <w:r>
              <w:rPr>
                <w:b w:val="0"/>
                <w:sz w:val="26"/>
                <w:szCs w:val="26"/>
              </w:rPr>
              <w:t xml:space="preserve">собственных (арендованных)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порожних грузовых вагонов в международном сообщении</w:t>
            </w: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sz w:val="16"/>
                <w:szCs w:val="16"/>
              </w:rPr>
            </w:pP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З</w:t>
            </w:r>
            <w:r>
              <w:rPr>
                <w:b w:val="0"/>
                <w:sz w:val="26"/>
                <w:szCs w:val="26"/>
              </w:rPr>
              <w:t xml:space="preserve">аседани</w:t>
            </w:r>
            <w:r>
              <w:rPr>
                <w:b w:val="0"/>
                <w:sz w:val="26"/>
                <w:szCs w:val="26"/>
              </w:rPr>
              <w:t xml:space="preserve">ем</w:t>
            </w:r>
            <w:r>
              <w:rPr>
                <w:b w:val="0"/>
                <w:sz w:val="26"/>
                <w:szCs w:val="26"/>
              </w:rPr>
              <w:t xml:space="preserve"> Комиссии по безопасности движения (протокол </w:t>
            </w:r>
            <w:r>
              <w:rPr>
                <w:b w:val="0"/>
                <w:sz w:val="26"/>
                <w:szCs w:val="26"/>
              </w:rPr>
              <w:br/>
            </w:r>
            <w:r>
              <w:rPr>
                <w:b w:val="0"/>
                <w:sz w:val="26"/>
                <w:szCs w:val="26"/>
              </w:rPr>
              <w:t xml:space="preserve">от</w:t>
            </w:r>
            <w:r>
              <w:rPr>
                <w:b w:val="0"/>
                <w:sz w:val="26"/>
                <w:szCs w:val="26"/>
              </w:rPr>
              <w:t xml:space="preserve"> </w:t>
            </w:r>
            <w:r>
              <w:rPr>
                <w:b w:val="0"/>
                <w:sz w:val="26"/>
                <w:szCs w:val="26"/>
              </w:rPr>
              <w:t xml:space="preserve">1-2</w:t>
            </w:r>
            <w:r>
              <w:rPr>
                <w:b w:val="0"/>
                <w:sz w:val="26"/>
                <w:szCs w:val="26"/>
              </w:rPr>
              <w:t xml:space="preserve"> октября </w:t>
            </w:r>
            <w:r>
              <w:rPr>
                <w:b w:val="0"/>
                <w:sz w:val="26"/>
                <w:szCs w:val="26"/>
              </w:rPr>
              <w:t xml:space="preserve">2025</w:t>
            </w:r>
            <w:r>
              <w:rPr>
                <w:b w:val="0"/>
                <w:sz w:val="26"/>
                <w:szCs w:val="26"/>
              </w:rPr>
              <w:t xml:space="preserve"> </w:t>
            </w:r>
            <w:r>
              <w:rPr>
                <w:b w:val="0"/>
                <w:sz w:val="26"/>
                <w:szCs w:val="26"/>
              </w:rPr>
              <w:t xml:space="preserve">г</w:t>
            </w:r>
            <w:r>
              <w:rPr>
                <w:b w:val="0"/>
                <w:sz w:val="26"/>
                <w:szCs w:val="26"/>
              </w:rPr>
              <w:t xml:space="preserve">ода</w:t>
            </w:r>
            <w:r>
              <w:rPr>
                <w:b w:val="0"/>
                <w:sz w:val="26"/>
                <w:szCs w:val="26"/>
              </w:rPr>
              <w:t xml:space="preserve">) принято решение просить железнодорожные администрации представить в Дирекцию Совета предложения по возможности автоматизации процессов взаимодействия по учету допущенных нарушений.</w:t>
            </w: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b w:val="0"/>
                <w:sz w:val="26"/>
                <w:szCs w:val="26"/>
              </w:rPr>
            </w:pPr>
          </w:p>
          <w:p>
            <w:pPr>
              <w:pStyle w:val="af"/>
              <w:tabs>
                <w:tab w:val="left" w:pos="709"/>
              </w:tabs>
              <w:ind w:right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Реализация мероприяти</w:t>
            </w:r>
            <w:r>
              <w:rPr>
                <w:b w:val="0"/>
                <w:sz w:val="26"/>
                <w:szCs w:val="26"/>
              </w:rPr>
              <w:t xml:space="preserve">й</w:t>
            </w:r>
            <w:r>
              <w:rPr>
                <w:b w:val="0"/>
                <w:sz w:val="26"/>
                <w:szCs w:val="26"/>
              </w:rPr>
              <w:t xml:space="preserve"> будет продолжена.</w:t>
            </w: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Рассмотреть целесообразность</w:t>
            </w:r>
            <w:r>
              <w:rPr>
                <w:rFonts w:eastAsia="Calibri"/>
                <w:sz w:val="26"/>
                <w:szCs w:val="26"/>
              </w:rPr>
              <w:t xml:space="preserve"> и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возможность усовершенствования процесса учёта и систематизации контроля за техническим состоянием парка подвижного состава 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16"/>
                <w:szCs w:val="1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и выходные формы об эксплуатационной деятельности железнодорожных администраций на основе пересмотра справочной информации, предоставляемой в Дирекцию Совета с использованием автоматизированных систем (при необходимости с внесением изменений и дополнений)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Вопрос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6"/>
                <w:szCs w:val="26"/>
              </w:rPr>
              <w:t xml:space="preserve">по выполнению данного мероприятия в части грузовых вагонов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включен в повестку дня заседания Рабочей группы Комиссии вагонного хозяйства (запланировано на 2-3 декабря 2025 г.) для рассмотрения и последующего принятия решения на очередном заседании Комиссии вагонного хозяйства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проект Плана НИОКР-2026 включена работа «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Разработка программного обеспечения автоматизированного формирования оперативного отчета об эксплуатационной деятельности железнодорожных администраций нового поколения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(ОЭД ИБМУ НП)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» (шифр 1.3.66).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Также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опрос о  формировании выходных форм отчетности об эксплуатационной деятельности железнодорожных администраций рассматривался в ходе заседания Комиссии по вопросам методологии оперативного и статистического учета на железнодорожном транспорте (протокол от 3-5 сентября 2025 года).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будет продолжена.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Дирекции Совета по итогам заседаний Совета организовать выпуск электронной версии Сборника материалов Дирекции Совета, содержащего иллюстрированные презентационными материалами доклады, представленные в ходе заседаний рабочих органов и заседания Совета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рганизован выпуск электронной версии Сборника материалов Дирекции Совета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 размещением на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web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сате Совета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(https://www.sovetgt.org/index.php?link=110)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Выпуск Сборника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будет продолжен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на постоянной основе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Упразднить Временную рабочую группу по проведению анализа нормативно-правовой базы Совета, регламентирующей международные пассажирские перевозки, и подготовке предложений по ее совершенствованию в части правоотношений между пассажиром и перевозчиком, а также между перевозчиками, как выполнившую поручение 70-го заседания Совета по проведению анализа нормативно-правовой базы Совета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Временная рабочая группа упразднена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соответствии с решением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Комисси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по пассажирскому хозяйству (пп.4.2 пункта 4 повестки дня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34-го заседания от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4-6 марта 2025 г.)</w:t>
            </w: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spacing w:line="3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Продолжить работу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остоянно действующей рабочей группы по АСУ «Экспресс» в прежнем формате и не планировать в период до окончания 2027 года мероприятия по реформированию данного органа по причине запланированного проведения  работ по поэтапному переходу к новому поколению АСУ пассажирскими перевозками в течение 2025 - 2027 гг.</w:t>
            </w: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остоянно действующей рабочей группы по АСУ «Экспресс»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продолжена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прежнем формате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 целью повышения эффективности внедрения принимаемых решений Дирекции Совета применять практику организации проведения обучающих семинаров и вебинаров</w:t>
            </w:r>
          </w:p>
          <w:p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проведения обучающих семинаров и вебинаров осуществляется на постоянной основе. 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Например, в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сентябр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2025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посредством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Технологической Связи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(СТС) проведено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обучение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представителей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железнодорожных администраций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функциям модератора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: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сентября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 – 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для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заседани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Экспертной группы Совета в области оценки соответствия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11-12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сентября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2025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г. Гомел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ь,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Республика Беларусь) с использованием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СТС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сентября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 – для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заседания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Комиссии вагонного хозяйства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(16-18 сентября 2025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г.Саранск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, Российская Федерация)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 использованием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СТС.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>
        <w:trPr>
          <w:jc w:val="center"/>
        </w:trPr>
        <w:tc>
          <w:tcPr>
            <w:tcW w:w="7613" w:type="dxa"/>
          </w:tcPr>
          <w:p>
            <w:pPr>
              <w:spacing w:line="320" w:lineRule="exact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  <w:p>
            <w:pPr>
              <w:spacing w:line="320" w:lineRule="exact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Рабочей группе по вопросам Соглашения 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 СМПС и Соглашения о Межгосударственном пассажирском тарифе (РГ по ОП СМПС и МГПТ) по мере необходимости проводить работу по актуализации нормативных документов Совета (в том числе Соглашения об организации приграничного пригородного (регионального) железнодорожного сообщения), не создавая Временные рабочие группы</w:t>
            </w:r>
          </w:p>
        </w:tc>
        <w:tc>
          <w:tcPr>
            <w:tcW w:w="7613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абота по актуализаци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и нормативных документов Совета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без создания Временных рабочих групп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выполняется на постоянной основе.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Так, в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 втором полугодии 2025 года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ходе заседания Рабочей группы (29-31 июля 2025 года)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ы проекты изменений в Приложения №№ 1, 2 и 4 к ОП СМПС, а также проект изменений и дополнений в МГПТ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.</w:t>
            </w:r>
          </w:p>
        </w:tc>
      </w:tr>
    </w:tbl>
    <w:p>
      <w:pPr>
        <w:tabs>
          <w:tab w:val="left" w:pos="65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</w:rPr>
        <w:t xml:space="preserve">реализация других мероприятий Плана запланирована в последующие периоды</w:t>
      </w:r>
      <w:r>
        <w:rPr>
          <w:rFonts w:ascii="Times New Roman" w:hAnsi="Times New Roman" w:cs="Times New Roman"/>
        </w:rPr>
        <w:t xml:space="preserve"> работы Совета</w:t>
      </w:r>
      <w:r>
        <w:rPr>
          <w:rFonts w:ascii="Times New Roman" w:hAnsi="Times New Roman" w:cs="Times New Roman"/>
        </w:rPr>
        <w:t xml:space="preserve">.</w:t>
      </w:r>
    </w:p>
    <w:sectPr>
      <w:headerReference w:type="default" r:id="rId9"/>
      <w:pgSz w:w="16838" w:h="11906" w:orient="landscape"/>
      <w:pgMar w:top="567" w:right="1134" w:bottom="851" w:left="1134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392420794"/>
      <w:docPartObj>
        <w:docPartGallery w:val="Page Numbers (Top of Page)"/>
        <w:docPartUnique w:val="true"/>
      </w:docPartObj>
    </w:sdtPr>
    <w:sdtContent>
      <w:p>
        <w:pPr>
          <w:pStyle w:val="a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 w:tplc="347CEB8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 w:customStyle="1">
    <w:name w:val="Основной текст_"/>
    <w:basedOn w:val="a0"/>
    <w:link w:val="2"/>
    <w:rPr>
      <w:sz w:val="26"/>
      <w:szCs w:val="26"/>
      <w:shd w:val="clear" w:color="auto" w:fill="ffffff"/>
    </w:rPr>
  </w:style>
  <w:style w:type="character" w:styleId="5" w:customStyle="1">
    <w:name w:val="Основной текст (5)_"/>
    <w:basedOn w:val="a0"/>
    <w:link w:val="50"/>
    <w:rPr>
      <w:spacing w:val="20"/>
      <w:sz w:val="26"/>
      <w:szCs w:val="26"/>
      <w:shd w:val="clear" w:color="auto" w:fill="ffffff"/>
    </w:rPr>
  </w:style>
  <w:style w:type="character" w:styleId="1pt" w:customStyle="1">
    <w:name w:val="Основной текст + Курсив;Интервал 1 pt"/>
    <w:basedOn w:val="a6"/>
    <w:rPr>
      <w:i/>
      <w:iCs/>
      <w:spacing w:val="20"/>
      <w:sz w:val="26"/>
      <w:szCs w:val="26"/>
      <w:shd w:val="clear" w:color="auto" w:fill="ffffff"/>
    </w:rPr>
  </w:style>
  <w:style w:type="character" w:styleId="50pt" w:customStyle="1">
    <w:name w:val="Основной текст (5) + Не курсив;Интервал 0 pt"/>
    <w:basedOn w:val="5"/>
    <w:rPr>
      <w:i/>
      <w:iCs/>
      <w:spacing w:val="0"/>
      <w:sz w:val="26"/>
      <w:szCs w:val="26"/>
      <w:shd w:val="clear" w:color="auto" w:fill="ffffff"/>
    </w:rPr>
  </w:style>
  <w:style w:type="paragraph" w:styleId="2" w:customStyle="1">
    <w:name w:val="Основной текст2"/>
    <w:basedOn w:val="a"/>
    <w:link w:val="a6"/>
    <w:pPr>
      <w:shd w:val="clear" w:color="auto" w:fill="ffffff"/>
      <w:spacing w:after="0" w:line="0" w:lineRule="atLeast"/>
    </w:pPr>
    <w:rPr>
      <w:sz w:val="26"/>
      <w:szCs w:val="26"/>
    </w:rPr>
  </w:style>
  <w:style w:type="paragraph" w:styleId="50" w:customStyle="1">
    <w:name w:val="Основной текст (5)"/>
    <w:basedOn w:val="a"/>
    <w:link w:val="5"/>
    <w:pPr>
      <w:shd w:val="clear" w:color="auto" w:fill="ffffff"/>
      <w:spacing w:before="240" w:after="240" w:line="0" w:lineRule="atLeast"/>
      <w:ind w:firstLine="720"/>
      <w:jc w:val="both"/>
    </w:pPr>
    <w:rPr>
      <w:spacing w:val="20"/>
      <w:sz w:val="26"/>
      <w:szCs w:val="26"/>
    </w:rPr>
  </w:style>
  <w:style w:type="character" w:styleId="10" w:customStyle="1">
    <w:name w:val="Основной текст (10)_"/>
    <w:basedOn w:val="a0"/>
    <w:link w:val="10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styleId="100" w:customStyle="1">
    <w:name w:val="Основной текст (10)"/>
    <w:basedOn w:val="a"/>
    <w:link w:val="10"/>
    <w:pPr>
      <w:shd w:val="clear" w:color="auto" w:fill="ffffff"/>
      <w:spacing w:after="0" w:line="0" w:lineRule="atLeast"/>
    </w:pPr>
    <w:rPr>
      <w:rFonts w:ascii="Times New Roman" w:hAnsi="Times New Roman" w:eastAsia="Times New Roman" w:cs="Times New Roman"/>
      <w:sz w:val="27"/>
      <w:szCs w:val="27"/>
    </w:rPr>
  </w:style>
  <w:style w:type="character" w:styleId="4" w:customStyle="1">
    <w:name w:val="Основной текст (4)_"/>
    <w:basedOn w:val="a0"/>
    <w:link w:val="40"/>
    <w:rPr>
      <w:sz w:val="28"/>
      <w:szCs w:val="28"/>
      <w:shd w:val="clear" w:color="auto" w:fill="ffffff"/>
    </w:rPr>
  </w:style>
  <w:style w:type="character" w:styleId="8" w:customStyle="1">
    <w:name w:val="Основной текст (8)_"/>
    <w:basedOn w:val="a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styleId="80" w:customStyle="1">
    <w:name w:val="Основной текст (8)"/>
    <w:basedOn w:val="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40" w:customStyle="1">
    <w:name w:val="Основной текст (4)"/>
    <w:basedOn w:val="a"/>
    <w:link w:val="4"/>
    <w:pPr>
      <w:shd w:val="clear" w:color="auto" w:fill="ffffff"/>
      <w:spacing w:after="240" w:line="322" w:lineRule="exact"/>
      <w:jc w:val="center"/>
    </w:pPr>
    <w:rPr>
      <w:sz w:val="28"/>
      <w:szCs w:val="28"/>
    </w:rPr>
  </w:style>
  <w:style w:type="character" w:styleId="11" w:customStyle="1">
    <w:name w:val="Основной текст (11)_"/>
    <w:basedOn w:val="a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110" w:customStyle="1">
    <w:name w:val="Основной текст (11) + Полужирный"/>
    <w:basedOn w:val="11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7"/>
      <w:szCs w:val="27"/>
      <w:u w:val="single"/>
    </w:rPr>
  </w:style>
  <w:style w:type="character" w:styleId="111" w:customStyle="1">
    <w:name w:val="Основной текст (11)"/>
    <w:basedOn w:val="1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styleId="12" w:customStyle="1">
    <w:name w:val="Заголовок №1 (2)_"/>
    <w:basedOn w:val="a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120" w:customStyle="1">
    <w:name w:val="Заголовок №1 (2) + Полужирный"/>
    <w:basedOn w:val="12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7"/>
      <w:szCs w:val="27"/>
      <w:u w:val="single"/>
    </w:rPr>
  </w:style>
  <w:style w:type="character" w:styleId="121" w:customStyle="1">
    <w:name w:val="Заголовок №1 (2)"/>
    <w:basedOn w:val="1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styleId="9" w:customStyle="1">
    <w:name w:val="Основной текст (9)_"/>
    <w:basedOn w:val="a0"/>
    <w:link w:val="90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90" w:customStyle="1">
    <w:name w:val="Основной текст (9)"/>
    <w:basedOn w:val="a"/>
    <w:link w:val="9"/>
    <w:pPr>
      <w:shd w:val="clear" w:color="auto" w:fill="ffffff"/>
      <w:spacing w:after="0" w:line="0" w:lineRule="atLeast"/>
    </w:pPr>
    <w:rPr>
      <w:rFonts w:ascii="Times New Roman" w:hAnsi="Times New Roman" w:eastAsia="Times New Roman" w:cs="Times New Roman"/>
      <w:sz w:val="23"/>
      <w:szCs w:val="23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1" w:customStyle="1">
    <w:name w:val="Основной текст Знак1"/>
    <w:basedOn w:val="a0"/>
    <w:link w:val="ac"/>
    <w:uiPriority w:val="99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styleId="ac">
    <w:name w:val="Body Text"/>
    <w:basedOn w:val="a"/>
    <w:link w:val="1"/>
    <w:uiPriority w:val="99"/>
    <w:pPr>
      <w:shd w:val="clear" w:color="auto" w:fill="ffffff"/>
      <w:spacing w:before="540" w:after="0" w:line="240" w:lineRule="atLeast"/>
    </w:pPr>
    <w:rPr>
      <w:rFonts w:ascii="Times New Roman" w:hAnsi="Times New Roman" w:cs="Times New Roman"/>
      <w:spacing w:val="10"/>
      <w:sz w:val="26"/>
      <w:szCs w:val="26"/>
    </w:rPr>
  </w:style>
  <w:style w:type="character" w:styleId="ad" w:customStyle="1">
    <w:name w:val="Основной текст Знак"/>
    <w:basedOn w:val="a0"/>
    <w:uiPriority w:val="99"/>
    <w:semiHidden/>
  </w:style>
  <w:style w:type="paragraph" w:styleId="Default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kiakienaznn21" w:customStyle="1">
    <w:name w:val="Inkiakie naznn 21"/>
    <w:basedOn w:val="a"/>
    <w:pPr>
      <w:widowControl w:val="off"/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Title"/>
    <w:basedOn w:val="a"/>
    <w:link w:val="af0"/>
    <w:uiPriority w:val="99"/>
    <w:qFormat/>
    <w:pPr>
      <w:spacing w:after="0" w:line="240" w:lineRule="auto"/>
      <w:ind w:right="-105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af0" w:customStyle="1">
    <w:name w:val="Заголовок Знак"/>
    <w:basedOn w:val="a0"/>
    <w:link w:val="af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4D66F-684B-47FC-9C9E-FE4914B4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haracters>6570</Characters>
  <CharactersWithSpaces>7707</CharactersWithSpaces>
  <Company>HP Inc.</Company>
  <DocSecurity>0</DocSecurity>
  <HyperlinksChanged>false</HyperlinksChanged>
  <Lines>54</Lines>
  <LinksUpToDate>false</LinksUpToDate>
  <Pages>4</Pages>
  <Paragraphs>15</Paragraphs>
  <ScaleCrop>false</ScaleCrop>
  <SharedDoc>false</SharedDoc>
  <Template>Normal.dotm</Template>
  <TotalTime>368</TotalTime>
  <Words>1152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СоложенкинСВ</dc:creator>
  <cp:lastModifiedBy>proshkinaiv</cp:lastModifiedBy>
  <cp:revision>23</cp:revision>
  <cp:lastPrinted>2025-10-21T10:59:00Z</cp:lastPrinted>
  <dcterms:created xsi:type="dcterms:W3CDTF">2025-10-17T12:33:00Z</dcterms:created>
  <dcterms:modified xsi:type="dcterms:W3CDTF">2025-11-19T09:31:00Z</dcterms:modified>
</cp:coreProperties>
</file>